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632" w:type="pct"/>
        <w:tblInd w:w="-431" w:type="dxa"/>
        <w:tblLook w:val="04A0" w:firstRow="1" w:lastRow="0" w:firstColumn="1" w:lastColumn="0" w:noHBand="0" w:noVBand="1"/>
      </w:tblPr>
      <w:tblGrid>
        <w:gridCol w:w="4069"/>
        <w:gridCol w:w="6138"/>
      </w:tblGrid>
      <w:tr w:rsidR="00767BDC" w:rsidTr="00F448AB">
        <w:trPr>
          <w:trHeight w:val="1559"/>
        </w:trPr>
        <w:tc>
          <w:tcPr>
            <w:tcW w:w="1993" w:type="pct"/>
          </w:tcPr>
          <w:p w:rsidR="00767BDC" w:rsidRDefault="00767BDC">
            <w:r>
              <w:t>Adresse postale identité</w:t>
            </w:r>
          </w:p>
        </w:tc>
        <w:tc>
          <w:tcPr>
            <w:tcW w:w="3007" w:type="pct"/>
          </w:tcPr>
          <w:p w:rsidR="00144EB2" w:rsidRDefault="00AA77A8" w:rsidP="00144EB2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color w:val="88BC34"/>
                <w:sz w:val="32"/>
                <w:szCs w:val="32"/>
              </w:rPr>
            </w:pPr>
            <w:r>
              <w:t xml:space="preserve">Demande de période en entreprise sur le poste de </w:t>
            </w:r>
            <w:r w:rsidR="00144EB2">
              <w:rPr>
                <w:rFonts w:ascii="Roboto-Medium" w:hAnsi="Roboto-Medium" w:cs="Roboto-Medium"/>
                <w:color w:val="88BC34"/>
                <w:sz w:val="32"/>
                <w:szCs w:val="32"/>
              </w:rPr>
              <w:t>Opérateur régleur en usinage assisté</w:t>
            </w:r>
          </w:p>
          <w:p w:rsidR="00767BDC" w:rsidRDefault="00144EB2" w:rsidP="00144EB2">
            <w:pPr>
              <w:pStyle w:val="Titre"/>
            </w:pPr>
            <w:r>
              <w:rPr>
                <w:rFonts w:ascii="Roboto-Medium" w:hAnsi="Roboto-Medium" w:cs="Roboto-Medium"/>
                <w:color w:val="88BC34"/>
                <w:sz w:val="32"/>
                <w:szCs w:val="32"/>
              </w:rPr>
              <w:t>par ordinateur</w:t>
            </w:r>
          </w:p>
        </w:tc>
      </w:tr>
      <w:tr w:rsidR="00767BDC" w:rsidTr="00F448AB">
        <w:trPr>
          <w:trHeight w:val="9476"/>
        </w:trPr>
        <w:tc>
          <w:tcPr>
            <w:tcW w:w="1993" w:type="pct"/>
          </w:tcPr>
          <w:p w:rsidR="00AA77A8" w:rsidRDefault="00767BDC" w:rsidP="006C4491">
            <w:pPr>
              <w:pStyle w:val="Titre1"/>
              <w:outlineLvl w:val="0"/>
            </w:pPr>
            <w:r>
              <w:t>Qualités</w:t>
            </w:r>
          </w:p>
          <w:p w:rsidR="00AA77A8" w:rsidRDefault="00AA77A8" w:rsidP="00AA77A8">
            <w:r>
              <w:t>Dextérité</w:t>
            </w:r>
          </w:p>
          <w:p w:rsidR="00AA77A8" w:rsidRDefault="00AA77A8" w:rsidP="00AA77A8">
            <w:r>
              <w:t>Minutie</w:t>
            </w:r>
          </w:p>
          <w:p w:rsidR="00767BDC" w:rsidRDefault="00AA77A8" w:rsidP="00AA77A8">
            <w:pPr>
              <w:rPr>
                <w:color w:val="538135" w:themeColor="accent6" w:themeShade="BF"/>
              </w:rPr>
            </w:pPr>
            <w:r>
              <w:t>Ponctualité</w:t>
            </w:r>
            <w:r w:rsidR="00767BDC">
              <w:rPr>
                <w:color w:val="538135" w:themeColor="accent6" w:themeShade="BF"/>
              </w:rPr>
              <w:t xml:space="preserve"> </w:t>
            </w:r>
          </w:p>
          <w:p w:rsidR="00AA77A8" w:rsidRDefault="00AA77A8" w:rsidP="00AA77A8">
            <w:pPr>
              <w:pStyle w:val="Titre1"/>
              <w:outlineLvl w:val="0"/>
            </w:pPr>
            <w:r>
              <w:t>Compétences</w:t>
            </w:r>
          </w:p>
          <w:p w:rsidR="009744FB" w:rsidRPr="009744FB" w:rsidRDefault="009744FB" w:rsidP="009744FB">
            <w:pPr>
              <w:spacing w:before="240"/>
              <w:rPr>
                <w:lang w:eastAsia="fr-FR"/>
              </w:rPr>
            </w:pPr>
            <w:r w:rsidRPr="009744FB">
              <w:rPr>
                <w:lang w:eastAsia="fr-FR"/>
              </w:rPr>
              <w:t>Identifier les phases d'usinage et les cotes de réglages (tolérances, positions, états de surfaces, ...) de la pièce et des outils</w:t>
            </w:r>
          </w:p>
          <w:p w:rsidR="009744FB" w:rsidRPr="009744FB" w:rsidRDefault="009744FB" w:rsidP="009744FB">
            <w:pPr>
              <w:spacing w:before="240"/>
              <w:rPr>
                <w:lang w:eastAsia="fr-FR"/>
              </w:rPr>
            </w:pPr>
            <w:r w:rsidRPr="009744FB">
              <w:rPr>
                <w:lang w:eastAsia="fr-FR"/>
              </w:rPr>
              <w:t>Régler les paramètres des machines et des équipements</w:t>
            </w:r>
          </w:p>
          <w:p w:rsidR="009744FB" w:rsidRPr="009744FB" w:rsidRDefault="009744FB" w:rsidP="009744FB">
            <w:pPr>
              <w:spacing w:before="240"/>
              <w:rPr>
                <w:lang w:eastAsia="fr-FR"/>
              </w:rPr>
            </w:pPr>
            <w:r w:rsidRPr="009744FB">
              <w:rPr>
                <w:lang w:eastAsia="fr-FR"/>
              </w:rPr>
              <w:t>Surveiller le déroulement de l'usinage</w:t>
            </w:r>
          </w:p>
          <w:p w:rsidR="009744FB" w:rsidRPr="009744FB" w:rsidRDefault="009744FB" w:rsidP="009744FB">
            <w:pPr>
              <w:spacing w:before="240"/>
              <w:rPr>
                <w:lang w:eastAsia="fr-FR"/>
              </w:rPr>
            </w:pPr>
            <w:r w:rsidRPr="009744FB">
              <w:rPr>
                <w:lang w:eastAsia="fr-FR"/>
              </w:rPr>
              <w:t>Détecter un dysfonctionnement</w:t>
            </w:r>
          </w:p>
          <w:p w:rsidR="009744FB" w:rsidRPr="009744FB" w:rsidRDefault="009744FB" w:rsidP="009744FB">
            <w:pPr>
              <w:spacing w:before="240"/>
              <w:rPr>
                <w:lang w:eastAsia="fr-FR"/>
              </w:rPr>
            </w:pPr>
            <w:r w:rsidRPr="009744FB">
              <w:rPr>
                <w:lang w:eastAsia="fr-FR"/>
              </w:rPr>
              <w:t>Appliquer les mesures correctives</w:t>
            </w:r>
          </w:p>
          <w:p w:rsidR="009744FB" w:rsidRPr="009744FB" w:rsidRDefault="009744FB" w:rsidP="009744FB">
            <w:pPr>
              <w:spacing w:before="240"/>
              <w:rPr>
                <w:lang w:eastAsia="fr-FR"/>
              </w:rPr>
            </w:pPr>
            <w:r w:rsidRPr="009744FB">
              <w:rPr>
                <w:lang w:eastAsia="fr-FR"/>
              </w:rPr>
              <w:t>Contrôler un produit fini</w:t>
            </w:r>
          </w:p>
          <w:p w:rsidR="009744FB" w:rsidRPr="009744FB" w:rsidRDefault="009744FB" w:rsidP="009744FB">
            <w:pPr>
              <w:spacing w:before="240"/>
              <w:rPr>
                <w:lang w:eastAsia="fr-FR"/>
              </w:rPr>
            </w:pPr>
            <w:r w:rsidRPr="009744FB">
              <w:rPr>
                <w:lang w:eastAsia="fr-FR"/>
              </w:rPr>
              <w:t>Concevoir des supports de suivi et de gestion</w:t>
            </w:r>
          </w:p>
          <w:p w:rsidR="009744FB" w:rsidRPr="009744FB" w:rsidRDefault="009744FB" w:rsidP="009744FB">
            <w:pPr>
              <w:spacing w:before="240"/>
              <w:rPr>
                <w:lang w:eastAsia="fr-FR"/>
              </w:rPr>
            </w:pPr>
            <w:r w:rsidRPr="009744FB">
              <w:rPr>
                <w:lang w:eastAsia="fr-FR"/>
              </w:rPr>
              <w:t>Entretenir des équipements</w:t>
            </w:r>
          </w:p>
          <w:p w:rsidR="009744FB" w:rsidRPr="009744FB" w:rsidRDefault="009744FB" w:rsidP="009744FB">
            <w:pPr>
              <w:spacing w:before="240"/>
              <w:rPr>
                <w:lang w:eastAsia="fr-FR"/>
              </w:rPr>
            </w:pPr>
            <w:r w:rsidRPr="009744FB">
              <w:rPr>
                <w:lang w:eastAsia="fr-FR"/>
              </w:rPr>
              <w:t>Assurer une maintenance de premier niveau</w:t>
            </w:r>
          </w:p>
          <w:p w:rsidR="006C4491" w:rsidRDefault="006C4491" w:rsidP="009744FB"/>
          <w:p w:rsidR="00144EB2" w:rsidRPr="006C4491" w:rsidRDefault="00144EB2" w:rsidP="00144EB2"/>
        </w:tc>
        <w:tc>
          <w:tcPr>
            <w:tcW w:w="3007" w:type="pct"/>
          </w:tcPr>
          <w:p w:rsidR="00767BDC" w:rsidRDefault="00767BDC" w:rsidP="006C4491">
            <w:pPr>
              <w:pStyle w:val="Titre1"/>
              <w:outlineLvl w:val="0"/>
            </w:pPr>
            <w:r>
              <w:t>Formations</w:t>
            </w:r>
          </w:p>
          <w:p w:rsidR="00C7215C" w:rsidRPr="00F448AB" w:rsidRDefault="00C7215C" w:rsidP="00AA77A8">
            <w:pPr>
              <w:rPr>
                <w:b/>
              </w:rPr>
            </w:pPr>
            <w:r w:rsidRPr="00F448AB">
              <w:rPr>
                <w:b/>
              </w:rPr>
              <w:t xml:space="preserve">Formation </w:t>
            </w:r>
            <w:r w:rsidR="00F421D7">
              <w:rPr>
                <w:b/>
              </w:rPr>
              <w:t xml:space="preserve">ORU </w:t>
            </w:r>
            <w:r w:rsidR="00F421D7">
              <w:rPr>
                <w:b/>
              </w:rPr>
              <w:br/>
              <w:t>Opérateur Régleur en usinage assisté par ordinateur</w:t>
            </w:r>
            <w:r w:rsidR="00AA77A8" w:rsidRPr="00F448AB">
              <w:rPr>
                <w:b/>
              </w:rPr>
              <w:t xml:space="preserve"> </w:t>
            </w:r>
          </w:p>
          <w:p w:rsidR="00C7215C" w:rsidRDefault="00C7215C" w:rsidP="00AA77A8">
            <w:r>
              <w:t>à l’</w:t>
            </w:r>
            <w:r w:rsidR="00AA77A8">
              <w:t xml:space="preserve">Afpa </w:t>
            </w:r>
            <w:r>
              <w:t xml:space="preserve">de </w:t>
            </w:r>
            <w:r w:rsidR="00AA77A8">
              <w:t>Châtellerault</w:t>
            </w:r>
            <w:r>
              <w:t xml:space="preserve"> </w:t>
            </w:r>
          </w:p>
          <w:p w:rsidR="00AA77A8" w:rsidRPr="00C7215C" w:rsidRDefault="00C7215C" w:rsidP="00AA77A8">
            <w:pPr>
              <w:rPr>
                <w:i/>
              </w:rPr>
            </w:pPr>
            <w:r w:rsidRPr="00C7215C">
              <w:rPr>
                <w:i/>
              </w:rPr>
              <w:t>du 20 juillet 2020 au 20 novembre 2020</w:t>
            </w:r>
          </w:p>
          <w:p w:rsidR="00AA77A8" w:rsidRPr="00AA77A8" w:rsidRDefault="00AA77A8" w:rsidP="00AA77A8"/>
          <w:p w:rsidR="00767BDC" w:rsidRPr="006C4491" w:rsidRDefault="00767BDC" w:rsidP="006C4491">
            <w:pPr>
              <w:pStyle w:val="Titre1"/>
              <w:outlineLvl w:val="0"/>
            </w:pPr>
            <w:r w:rsidRPr="006C4491">
              <w:t>Expériences professionnelles</w:t>
            </w:r>
          </w:p>
          <w:p w:rsidR="00767BDC" w:rsidRDefault="00767BDC" w:rsidP="009A060B">
            <w:pPr>
              <w:tabs>
                <w:tab w:val="left" w:pos="1212"/>
              </w:tabs>
            </w:pPr>
            <w:r w:rsidRPr="009A060B">
              <w:rPr>
                <w:b/>
                <w:color w:val="538135" w:themeColor="accent6" w:themeShade="BF"/>
              </w:rPr>
              <w:t>2019</w:t>
            </w:r>
            <w:r>
              <w:tab/>
            </w:r>
            <w:r w:rsidR="009A060B" w:rsidRPr="009A060B">
              <w:rPr>
                <w:b/>
              </w:rPr>
              <w:t>tourneur fraiseur</w:t>
            </w:r>
            <w:r w:rsidR="009A060B">
              <w:t xml:space="preserve"> Société Sotelec </w:t>
            </w:r>
            <w:r w:rsidR="009A060B">
              <w:br/>
            </w:r>
            <w:r w:rsidR="009A060B">
              <w:rPr>
                <w:i/>
              </w:rPr>
              <w:tab/>
            </w:r>
            <w:r w:rsidR="009A060B" w:rsidRPr="009A060B">
              <w:rPr>
                <w:i/>
              </w:rPr>
              <w:t>Availlles en Châtellerault</w:t>
            </w:r>
          </w:p>
          <w:p w:rsidR="00767BDC" w:rsidRDefault="00767BDC" w:rsidP="009A060B">
            <w:pPr>
              <w:tabs>
                <w:tab w:val="left" w:pos="1212"/>
              </w:tabs>
            </w:pPr>
            <w:r w:rsidRPr="009A060B">
              <w:rPr>
                <w:b/>
                <w:color w:val="538135" w:themeColor="accent6" w:themeShade="BF"/>
              </w:rPr>
              <w:t>2010</w:t>
            </w:r>
            <w:r>
              <w:tab/>
            </w:r>
          </w:p>
          <w:p w:rsidR="00767BDC" w:rsidRDefault="00767BDC" w:rsidP="009A060B">
            <w:pPr>
              <w:tabs>
                <w:tab w:val="left" w:pos="1212"/>
              </w:tabs>
            </w:pPr>
            <w:r w:rsidRPr="009A060B">
              <w:rPr>
                <w:b/>
                <w:color w:val="538135" w:themeColor="accent6" w:themeShade="BF"/>
              </w:rPr>
              <w:t>2003-2010</w:t>
            </w:r>
            <w:r>
              <w:tab/>
            </w:r>
          </w:p>
          <w:p w:rsidR="00767BDC" w:rsidRDefault="00767BDC" w:rsidP="009A060B">
            <w:pPr>
              <w:tabs>
                <w:tab w:val="left" w:pos="1212"/>
              </w:tabs>
            </w:pPr>
            <w:r w:rsidRPr="009A060B">
              <w:rPr>
                <w:b/>
                <w:color w:val="538135" w:themeColor="accent6" w:themeShade="BF"/>
              </w:rPr>
              <w:t>1998</w:t>
            </w:r>
            <w:r w:rsidR="00F448AB">
              <w:tab/>
            </w:r>
          </w:p>
          <w:p w:rsidR="00767BDC" w:rsidRPr="00767BDC" w:rsidRDefault="00767BDC" w:rsidP="00767BDC">
            <w:bookmarkStart w:id="0" w:name="_GoBack"/>
            <w:bookmarkEnd w:id="0"/>
          </w:p>
        </w:tc>
      </w:tr>
    </w:tbl>
    <w:p w:rsidR="00AB1D31" w:rsidRDefault="00AB1D31"/>
    <w:sectPr w:rsidR="00AB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CF" w:rsidRDefault="00EE58CF" w:rsidP="007C1DBC">
      <w:pPr>
        <w:spacing w:after="0" w:line="240" w:lineRule="auto"/>
      </w:pPr>
      <w:r>
        <w:separator/>
      </w:r>
    </w:p>
  </w:endnote>
  <w:endnote w:type="continuationSeparator" w:id="0">
    <w:p w:rsidR="00EE58CF" w:rsidRDefault="00EE58CF" w:rsidP="007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CF" w:rsidRDefault="00EE58CF" w:rsidP="007C1DBC">
      <w:pPr>
        <w:spacing w:after="0" w:line="240" w:lineRule="auto"/>
      </w:pPr>
      <w:r>
        <w:separator/>
      </w:r>
    </w:p>
  </w:footnote>
  <w:footnote w:type="continuationSeparator" w:id="0">
    <w:p w:rsidR="00EE58CF" w:rsidRDefault="00EE58CF" w:rsidP="007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796C"/>
    <w:multiLevelType w:val="multilevel"/>
    <w:tmpl w:val="049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7"/>
    <w:rsid w:val="00144EB2"/>
    <w:rsid w:val="005547B5"/>
    <w:rsid w:val="00640DD7"/>
    <w:rsid w:val="006C4491"/>
    <w:rsid w:val="00767BDC"/>
    <w:rsid w:val="007C1DBC"/>
    <w:rsid w:val="0086693E"/>
    <w:rsid w:val="009744FB"/>
    <w:rsid w:val="009A060B"/>
    <w:rsid w:val="00AA77A8"/>
    <w:rsid w:val="00AB1D31"/>
    <w:rsid w:val="00AF315E"/>
    <w:rsid w:val="00C325D2"/>
    <w:rsid w:val="00C7215C"/>
    <w:rsid w:val="00D664E7"/>
    <w:rsid w:val="00EE58CF"/>
    <w:rsid w:val="00F421D7"/>
    <w:rsid w:val="00F448AB"/>
    <w:rsid w:val="00F66828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49939"/>
  <w15:chartTrackingRefBased/>
  <w15:docId w15:val="{33F22A47-53F1-4CEB-8BCE-D4C76AC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4491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538135" w:themeColor="accent6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C4491"/>
    <w:rPr>
      <w:rFonts w:ascii="Arial" w:eastAsiaTheme="majorEastAsia" w:hAnsi="Arial" w:cs="Arial"/>
      <w:color w:val="538135" w:themeColor="accent6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67B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7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C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DBC"/>
  </w:style>
  <w:style w:type="paragraph" w:styleId="Pieddepage">
    <w:name w:val="footer"/>
    <w:basedOn w:val="Normal"/>
    <w:link w:val="PieddepageCar"/>
    <w:uiPriority w:val="99"/>
    <w:unhideWhenUsed/>
    <w:rsid w:val="007C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Nesler Vincent</dc:creator>
  <cp:keywords/>
  <dc:description/>
  <cp:lastModifiedBy>Nesler Vincent</cp:lastModifiedBy>
  <cp:revision>9</cp:revision>
  <dcterms:created xsi:type="dcterms:W3CDTF">2020-08-03T12:36:00Z</dcterms:created>
  <dcterms:modified xsi:type="dcterms:W3CDTF">2020-08-05T13:02:00Z</dcterms:modified>
</cp:coreProperties>
</file>